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AF3BCC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5B51AD" w:rsidRDefault="00291B95" w:rsidP="00C06E7B">
            <w:pPr>
              <w:pStyle w:val="-1"/>
              <w:jc w:val="both"/>
            </w:pPr>
            <w:r w:rsidRPr="005B51AD">
              <w:rPr>
                <w:color w:val="000000"/>
              </w:rPr>
              <w:t>7R01112 – «</w:t>
            </w:r>
            <w:proofErr w:type="spellStart"/>
            <w:r w:rsidRPr="005B51AD">
              <w:rPr>
                <w:color w:val="000000"/>
              </w:rPr>
              <w:t>Дерматовенерология</w:t>
            </w:r>
            <w:proofErr w:type="spellEnd"/>
            <w:r w:rsidRPr="005B51AD">
              <w:rPr>
                <w:color w:val="000000"/>
              </w:rPr>
              <w:t xml:space="preserve"> </w:t>
            </w:r>
            <w:r w:rsidR="005A28D5" w:rsidRPr="005B51AD">
              <w:rPr>
                <w:color w:val="000000"/>
              </w:rPr>
              <w:t>(</w:t>
            </w:r>
            <w:r w:rsidRPr="005B51AD">
              <w:rPr>
                <w:color w:val="000000"/>
              </w:rPr>
              <w:t>взрослая, детская</w:t>
            </w:r>
            <w:r w:rsidR="005A28D5" w:rsidRPr="005B51AD">
              <w:rPr>
                <w:color w:val="000000"/>
              </w:rPr>
              <w:t>)</w:t>
            </w:r>
            <w:r w:rsidRPr="005B51AD">
              <w:rPr>
                <w:color w:val="000000"/>
              </w:rPr>
              <w:t>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291B95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291B95" w:rsidRPr="00291B95">
              <w:rPr>
                <w:b w:val="0"/>
              </w:rPr>
              <w:t xml:space="preserve">подготовка высококвалифицированных конкурентоспособных врачей </w:t>
            </w:r>
            <w:proofErr w:type="spellStart"/>
            <w:r w:rsidR="00291B95" w:rsidRPr="00291B95">
              <w:rPr>
                <w:b w:val="0"/>
              </w:rPr>
              <w:t>дерматовенерологов</w:t>
            </w:r>
            <w:proofErr w:type="spellEnd"/>
            <w:r w:rsidR="00291B95" w:rsidRPr="00291B95">
              <w:rPr>
                <w:b w:val="0"/>
              </w:rPr>
              <w:t xml:space="preserve"> владеющими в полном объеме ключевыми компетенциями, ориентированными на охрану здоровья населения, диагностику, лечение и профилактику заболеваний кожи и инфекций, передающихся половым путем</w:t>
            </w:r>
          </w:p>
        </w:tc>
      </w:tr>
      <w:tr w:rsidR="00291B95" w:rsidRPr="00C06E7B" w:rsidTr="0025264A">
        <w:tc>
          <w:tcPr>
            <w:tcW w:w="9322" w:type="dxa"/>
          </w:tcPr>
          <w:p w:rsidR="00291B95" w:rsidRPr="00291B95" w:rsidRDefault="00291B95" w:rsidP="00291B95">
            <w:pPr>
              <w:pStyle w:val="-1"/>
              <w:jc w:val="both"/>
            </w:pPr>
            <w:r w:rsidRPr="00291B95">
              <w:t>Результаты обучения: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РО1 применя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навыки планирования и проведения клинического, лабораторно-инструментального обследовани</w:t>
            </w:r>
            <w:r>
              <w:rPr>
                <w:b w:val="0"/>
              </w:rPr>
              <w:t>я</w:t>
            </w:r>
            <w:r w:rsidRPr="00291B95">
              <w:rPr>
                <w:b w:val="0"/>
              </w:rPr>
              <w:t xml:space="preserve"> взрослы</w:t>
            </w:r>
            <w:r>
              <w:rPr>
                <w:b w:val="0"/>
              </w:rPr>
              <w:t>х</w:t>
            </w:r>
            <w:r w:rsidRPr="00291B95">
              <w:rPr>
                <w:b w:val="0"/>
              </w:rPr>
              <w:t xml:space="preserve"> на всех уровнях дерматовенерологической помощи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РО2 применя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навыки планирования и проведения клинического, лабораторно-инструментального обследовани</w:t>
            </w:r>
            <w:r>
              <w:rPr>
                <w:b w:val="0"/>
              </w:rPr>
              <w:t>я</w:t>
            </w:r>
            <w:r w:rsidRPr="00291B95">
              <w:rPr>
                <w:b w:val="0"/>
              </w:rPr>
              <w:t xml:space="preserve"> дет</w:t>
            </w:r>
            <w:r>
              <w:rPr>
                <w:b w:val="0"/>
              </w:rPr>
              <w:t>ей</w:t>
            </w:r>
            <w:r w:rsidRPr="00291B95">
              <w:rPr>
                <w:b w:val="0"/>
              </w:rPr>
              <w:t xml:space="preserve"> на всех уровнях дерматовенерологической помощи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данные клинических, лабораторно-инструментальных исследований применительно к конкретной клинической ситуации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РО4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диагноз в соответствии с современными классификациями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РО5 выб</w:t>
            </w:r>
            <w:r>
              <w:rPr>
                <w:b w:val="0"/>
              </w:rPr>
              <w:t>ирает</w:t>
            </w:r>
            <w:r w:rsidRPr="00291B95">
              <w:rPr>
                <w:b w:val="0"/>
              </w:rPr>
              <w:t xml:space="preserve"> безопасное и эффективное лечение, основанное на принципах доказательной медицины на всех уровнях и проводить профилактические мероприятия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РО6 оформля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и ве</w:t>
            </w:r>
            <w:r>
              <w:rPr>
                <w:b w:val="0"/>
              </w:rPr>
              <w:t>дет</w:t>
            </w:r>
            <w:r w:rsidRPr="00291B95">
              <w:rPr>
                <w:b w:val="0"/>
              </w:rPr>
              <w:t xml:space="preserve"> медицинскую учетно-отчетную документацию, проводит экспертизу качества оказания медицинской помощи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РО7 действ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в рамках правового и организационного поля системы здравоохранения Республики Казахстан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РО8 эффективно взаимодейств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с пациент</w:t>
            </w:r>
            <w:r>
              <w:rPr>
                <w:b w:val="0"/>
              </w:rPr>
              <w:t>ом</w:t>
            </w:r>
            <w:r w:rsidRPr="00291B95">
              <w:rPr>
                <w:b w:val="0"/>
              </w:rPr>
              <w:t>, его окружением, коллегами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 9 обсужда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и согласовыва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действия в составе </w:t>
            </w:r>
            <w:proofErr w:type="spellStart"/>
            <w:r w:rsidRPr="00291B95">
              <w:rPr>
                <w:b w:val="0"/>
              </w:rPr>
              <w:t>межпрофессиональных</w:t>
            </w:r>
            <w:proofErr w:type="spellEnd"/>
            <w:r w:rsidRPr="00291B95">
              <w:rPr>
                <w:b w:val="0"/>
              </w:rPr>
              <w:t xml:space="preserve"> команд, выража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и защища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свои варианты дальнейшего улучшения результатов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 10 формулир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исследовательские вопросы, анализир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полученные научные данные, обобща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их, дела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выводы и применя</w:t>
            </w:r>
            <w:r>
              <w:rPr>
                <w:b w:val="0"/>
              </w:rPr>
              <w:t>ет</w:t>
            </w:r>
            <w:r w:rsidRPr="00291B95">
              <w:rPr>
                <w:b w:val="0"/>
              </w:rPr>
              <w:t xml:space="preserve"> результаты в своей клинической практике</w:t>
            </w:r>
          </w:p>
          <w:p w:rsidR="00291B95" w:rsidRPr="00291B95" w:rsidRDefault="00291B95" w:rsidP="00291B95">
            <w:pPr>
              <w:pStyle w:val="-1"/>
              <w:jc w:val="both"/>
              <w:rPr>
                <w:b w:val="0"/>
              </w:rPr>
            </w:pPr>
            <w:r w:rsidRPr="00291B95">
              <w:rPr>
                <w:b w:val="0"/>
              </w:rPr>
              <w:t>РО 11 эффективно использ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международные базы данных в повседневной деятельности, участв</w:t>
            </w:r>
            <w:r>
              <w:rPr>
                <w:b w:val="0"/>
              </w:rPr>
              <w:t>ует</w:t>
            </w:r>
            <w:r w:rsidRPr="00291B95">
              <w:rPr>
                <w:b w:val="0"/>
              </w:rPr>
              <w:t xml:space="preserve"> в мероприятиях непрерывного профессионального развития</w:t>
            </w:r>
          </w:p>
        </w:tc>
      </w:tr>
      <w:tr w:rsidR="00291B95" w:rsidRPr="00C06E7B" w:rsidTr="0025264A">
        <w:tc>
          <w:tcPr>
            <w:tcW w:w="9322" w:type="dxa"/>
          </w:tcPr>
          <w:p w:rsidR="00291B95" w:rsidRPr="00C06E7B" w:rsidRDefault="00291B95" w:rsidP="00291B95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>
              <w:rPr>
                <w:b w:val="0"/>
              </w:rPr>
              <w:t>140 кредитов</w:t>
            </w:r>
          </w:p>
        </w:tc>
      </w:tr>
      <w:tr w:rsidR="00AF3BCC" w:rsidRPr="00C06E7B" w:rsidTr="0025264A">
        <w:tc>
          <w:tcPr>
            <w:tcW w:w="9322" w:type="dxa"/>
          </w:tcPr>
          <w:p w:rsidR="00AF3BCC" w:rsidRPr="00C06E7B" w:rsidRDefault="00AF3BCC" w:rsidP="00291B95">
            <w:pPr>
              <w:pStyle w:val="-1"/>
              <w:jc w:val="both"/>
            </w:pPr>
            <w:r w:rsidRPr="004E16C4">
              <w:t>Продол</w:t>
            </w:r>
            <w:r>
              <w:t xml:space="preserve">жительность программы в годах: </w:t>
            </w:r>
            <w:r w:rsidRPr="00AF3BCC">
              <w:rPr>
                <w:b w:val="0"/>
              </w:rPr>
              <w:t>2 года</w:t>
            </w:r>
          </w:p>
        </w:tc>
      </w:tr>
      <w:tr w:rsidR="00291B95" w:rsidRPr="00C06E7B" w:rsidTr="0025264A">
        <w:tc>
          <w:tcPr>
            <w:tcW w:w="9322" w:type="dxa"/>
          </w:tcPr>
          <w:p w:rsidR="00291B95" w:rsidRPr="00C06E7B" w:rsidRDefault="00291B95" w:rsidP="00291B95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5708B0">
              <w:rPr>
                <w:b w:val="0"/>
                <w:lang w:val="kk-KZ"/>
              </w:rPr>
              <w:t>врач дерматовенеролог</w:t>
            </w:r>
            <w:r w:rsidR="00830354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291B95" w:rsidRPr="00C06E7B" w:rsidTr="0025264A">
        <w:tc>
          <w:tcPr>
            <w:tcW w:w="9322" w:type="dxa"/>
            <w:vAlign w:val="center"/>
          </w:tcPr>
          <w:p w:rsidR="00291B95" w:rsidRPr="00C06E7B" w:rsidRDefault="00291B95" w:rsidP="00291B95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>
              <w:rPr>
                <w:b w:val="0"/>
                <w:lang w:val="kk-KZ"/>
              </w:rPr>
              <w:t xml:space="preserve"> </w:t>
            </w:r>
            <w:r w:rsidR="0065677A" w:rsidRPr="00A56951">
              <w:t xml:space="preserve"> </w:t>
            </w:r>
            <w:hyperlink r:id="rId5" w:history="1">
              <w:r w:rsidR="0065677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291B95" w:rsidRPr="00C06E7B" w:rsidTr="0025264A">
        <w:tc>
          <w:tcPr>
            <w:tcW w:w="9322" w:type="dxa"/>
            <w:vAlign w:val="center"/>
          </w:tcPr>
          <w:p w:rsidR="00291B95" w:rsidRPr="00C06E7B" w:rsidRDefault="004E08B1" w:rsidP="005A28D5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Pr="00AF3BCC" w:rsidRDefault="006E0B68" w:rsidP="00AF3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BCC" w:rsidRPr="00AF3BCC" w:rsidRDefault="00AF3BCC" w:rsidP="00AF3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B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Структура типовой учебной программы </w:t>
      </w: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811"/>
        <w:gridCol w:w="2410"/>
      </w:tblGrid>
      <w:tr w:rsidR="00AF3BCC" w:rsidRPr="00AF3BCC" w:rsidTr="00AF3BCC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№ п/п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Количество кредитов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138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1)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134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Модуль </w:t>
            </w:r>
            <w:proofErr w:type="spellStart"/>
            <w:r w:rsidRPr="00AF3BCC">
              <w:rPr>
                <w:b w:val="0"/>
              </w:rPr>
              <w:t>Дерматовенерология</w:t>
            </w:r>
            <w:proofErr w:type="spellEnd"/>
            <w:r w:rsidRPr="00AF3BCC">
              <w:rPr>
                <w:b w:val="0"/>
              </w:rPr>
              <w:t xml:space="preserve"> в стационаре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30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Модуль Детская </w:t>
            </w:r>
            <w:proofErr w:type="spellStart"/>
            <w:r w:rsidRPr="00AF3BCC">
              <w:rPr>
                <w:b w:val="0"/>
              </w:rPr>
              <w:t>дерматовенерология</w:t>
            </w:r>
            <w:proofErr w:type="spellEnd"/>
            <w:r w:rsidRPr="00AF3BCC">
              <w:rPr>
                <w:b w:val="0"/>
              </w:rPr>
              <w:t xml:space="preserve"> в стационаре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30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left="122" w:right="124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Модуль </w:t>
            </w:r>
            <w:proofErr w:type="spellStart"/>
            <w:r w:rsidRPr="00AF3BCC">
              <w:rPr>
                <w:b w:val="0"/>
              </w:rPr>
              <w:t>Дерматовенерология</w:t>
            </w:r>
            <w:proofErr w:type="spellEnd"/>
            <w:r w:rsidRPr="00AF3BCC">
              <w:rPr>
                <w:b w:val="0"/>
              </w:rPr>
              <w:t xml:space="preserve"> амбулаторно-поликлиническая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22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left="122" w:right="124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Модуль Детская </w:t>
            </w:r>
            <w:proofErr w:type="spellStart"/>
            <w:r w:rsidRPr="00AF3BCC">
              <w:rPr>
                <w:b w:val="0"/>
              </w:rPr>
              <w:t>дерматовенерология</w:t>
            </w:r>
            <w:proofErr w:type="spellEnd"/>
            <w:r w:rsidRPr="00AF3BCC">
              <w:rPr>
                <w:b w:val="0"/>
              </w:rPr>
              <w:t xml:space="preserve"> амбулаторно-поликлиническая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22</w:t>
            </w:r>
          </w:p>
        </w:tc>
      </w:tr>
      <w:tr w:rsidR="00AF3BCC" w:rsidRPr="00AF3BCC" w:rsidTr="00AF3BCC">
        <w:trPr>
          <w:trHeight w:val="55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proofErr w:type="spellStart"/>
            <w:r w:rsidRPr="00AF3BCC">
              <w:rPr>
                <w:b w:val="0"/>
              </w:rPr>
              <w:t>Дерматокосметология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10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>Гастроэнтерология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>Инфекционные болезни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79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right="124"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>Онкология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left="122" w:right="124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Клинико-лабораторная диагностика в </w:t>
            </w:r>
            <w:proofErr w:type="spellStart"/>
            <w:r w:rsidRPr="00AF3BCC">
              <w:rPr>
                <w:b w:val="0"/>
              </w:rPr>
              <w:t>дерматовенерологии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vMerge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ind w:firstLine="122"/>
              <w:jc w:val="left"/>
              <w:rPr>
                <w:b w:val="0"/>
              </w:rPr>
            </w:pPr>
            <w:r w:rsidRPr="00AF3BCC">
              <w:rPr>
                <w:b w:val="0"/>
              </w:rPr>
              <w:t xml:space="preserve">Клиническая фармакология в </w:t>
            </w:r>
            <w:proofErr w:type="spellStart"/>
            <w:r w:rsidRPr="00AF3BCC">
              <w:rPr>
                <w:b w:val="0"/>
              </w:rPr>
              <w:t>дерматовенерологии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2)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jc w:val="both"/>
              <w:rPr>
                <w:b w:val="0"/>
              </w:rPr>
            </w:pPr>
            <w:r w:rsidRPr="00AF3BCC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4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2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jc w:val="both"/>
              <w:rPr>
                <w:b w:val="0"/>
              </w:rPr>
            </w:pPr>
            <w:r w:rsidRPr="00AF3BCC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2</w:t>
            </w:r>
          </w:p>
        </w:tc>
      </w:tr>
      <w:tr w:rsidR="00AF3BCC" w:rsidRPr="00AF3BCC" w:rsidTr="00AF3BCC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926902">
            <w:pPr>
              <w:pStyle w:val="-1"/>
              <w:jc w:val="left"/>
              <w:rPr>
                <w:b w:val="0"/>
              </w:rPr>
            </w:pPr>
            <w:r w:rsidRPr="00AF3BCC">
              <w:rPr>
                <w:b w:val="0"/>
              </w:rPr>
              <w:t>Итого: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BCC" w:rsidRPr="00AF3BCC" w:rsidRDefault="00AF3BCC" w:rsidP="00AF3BCC">
            <w:pPr>
              <w:pStyle w:val="-1"/>
              <w:rPr>
                <w:b w:val="0"/>
              </w:rPr>
            </w:pPr>
            <w:r w:rsidRPr="00AF3BCC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6E0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291B95"/>
    <w:rsid w:val="004E08B1"/>
    <w:rsid w:val="005708B0"/>
    <w:rsid w:val="005A28D5"/>
    <w:rsid w:val="005B51AD"/>
    <w:rsid w:val="0065677A"/>
    <w:rsid w:val="006E0B68"/>
    <w:rsid w:val="007D03FB"/>
    <w:rsid w:val="00830354"/>
    <w:rsid w:val="008B1A42"/>
    <w:rsid w:val="00926902"/>
    <w:rsid w:val="00AF3BCC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4E08B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2022-03-15T03:59:00Z</dcterms:created>
  <dcterms:modified xsi:type="dcterms:W3CDTF">2024-04-01T05:23:00Z</dcterms:modified>
</cp:coreProperties>
</file>